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71AF5" w14:textId="7AF2A728" w:rsidR="008F2AAD" w:rsidRPr="00D40D0B" w:rsidRDefault="00373DC8" w:rsidP="008F2AAD">
      <w:pPr>
        <w:pStyle w:val="FormtovanvHTML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SPOLEČNÉ </w:t>
      </w:r>
      <w:r w:rsidR="00350F27" w:rsidRPr="00D40D0B">
        <w:rPr>
          <w:rFonts w:asciiTheme="minorHAnsi" w:hAnsiTheme="minorHAnsi" w:cstheme="minorHAnsi"/>
          <w:b/>
          <w:color w:val="000000"/>
          <w:sz w:val="22"/>
          <w:szCs w:val="22"/>
        </w:rPr>
        <w:t>UPOZORNĚNÍ</w:t>
      </w:r>
    </w:p>
    <w:p w14:paraId="2C85C29A" w14:textId="4868A395" w:rsidR="008F2AAD" w:rsidRPr="00D40D0B" w:rsidRDefault="008F2AAD" w:rsidP="008F2AAD">
      <w:pPr>
        <w:pStyle w:val="FormtovanvHTML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color w:val="000000"/>
          <w:sz w:val="22"/>
          <w:szCs w:val="22"/>
        </w:rPr>
        <w:t>pro věřitele</w:t>
      </w:r>
      <w:r w:rsidR="00350F27" w:rsidRPr="00D40D0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zaměstnance </w:t>
      </w:r>
      <w:r w:rsidRPr="00D40D0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 </w:t>
      </w:r>
      <w:r w:rsidR="002076C1" w:rsidRPr="00D40D0B">
        <w:rPr>
          <w:rFonts w:asciiTheme="minorHAnsi" w:hAnsiTheme="minorHAnsi" w:cstheme="minorHAnsi"/>
          <w:b/>
          <w:color w:val="000000"/>
          <w:sz w:val="22"/>
          <w:szCs w:val="22"/>
        </w:rPr>
        <w:t>společníky</w:t>
      </w:r>
      <w:r w:rsidRPr="00D40D0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na jejich práva</w:t>
      </w:r>
    </w:p>
    <w:p w14:paraId="22875342" w14:textId="77777777" w:rsidR="008F2AAD" w:rsidRPr="00D40D0B" w:rsidRDefault="008F2AAD" w:rsidP="008F2AAD">
      <w:pPr>
        <w:pStyle w:val="FormtovanvHTML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</w:p>
    <w:p w14:paraId="4553E845" w14:textId="77777777" w:rsidR="00525DC1" w:rsidRPr="00FC672C" w:rsidRDefault="00525DC1" w:rsidP="00525DC1">
      <w:pPr>
        <w:pStyle w:val="texte1x"/>
        <w:spacing w:before="0"/>
        <w:ind w:left="0"/>
        <w:contextualSpacing/>
        <w:rPr>
          <w:rFonts w:asciiTheme="minorHAnsi" w:hAnsiTheme="minorHAnsi" w:cstheme="minorHAnsi"/>
          <w:b/>
          <w:szCs w:val="22"/>
          <w:shd w:val="clear" w:color="auto" w:fill="FFFFFF"/>
          <w:lang w:val="cs-CZ"/>
        </w:rPr>
      </w:pPr>
      <w:r w:rsidRPr="00FC672C">
        <w:rPr>
          <w:rFonts w:asciiTheme="minorHAnsi" w:hAnsiTheme="minorHAnsi" w:cstheme="minorHAnsi"/>
          <w:b/>
          <w:szCs w:val="22"/>
          <w:shd w:val="clear" w:color="auto" w:fill="FFFFFF"/>
          <w:lang w:val="cs-CZ"/>
        </w:rPr>
        <w:t>ALV Hospitality Group s.r.o.</w:t>
      </w:r>
    </w:p>
    <w:p w14:paraId="5C55746B" w14:textId="61FF2DFE" w:rsidR="00525DC1" w:rsidRPr="00FC672C" w:rsidRDefault="00525DC1" w:rsidP="00525DC1">
      <w:pPr>
        <w:pStyle w:val="texte1x"/>
        <w:spacing w:before="0"/>
        <w:ind w:left="0"/>
        <w:contextualSpacing/>
        <w:rPr>
          <w:rFonts w:asciiTheme="minorHAnsi" w:hAnsiTheme="minorHAnsi" w:cstheme="minorHAnsi"/>
          <w:szCs w:val="22"/>
          <w:shd w:val="clear" w:color="auto" w:fill="FFFFFF"/>
          <w:lang w:val="cs-CZ"/>
        </w:rPr>
      </w:pPr>
      <w:r w:rsidRPr="00FC672C">
        <w:rPr>
          <w:rFonts w:asciiTheme="minorHAnsi" w:hAnsiTheme="minorHAnsi" w:cstheme="minorHAnsi"/>
          <w:szCs w:val="22"/>
          <w:lang w:val="cs-CZ"/>
        </w:rPr>
        <w:t xml:space="preserve">se sídlem </w:t>
      </w:r>
      <w:r w:rsidRPr="00FC672C">
        <w:rPr>
          <w:rFonts w:asciiTheme="minorHAnsi" w:hAnsiTheme="minorHAnsi" w:cstheme="minorHAnsi"/>
          <w:szCs w:val="22"/>
          <w:shd w:val="clear" w:color="auto" w:fill="FFFFFF"/>
          <w:lang w:val="cs-CZ"/>
        </w:rPr>
        <w:t>Mánesova 917/28, Vinohrady, 120 00 Praha 2</w:t>
      </w:r>
      <w:r w:rsidRPr="00FC672C">
        <w:rPr>
          <w:rFonts w:asciiTheme="minorHAnsi" w:hAnsiTheme="minorHAnsi" w:cstheme="minorHAnsi"/>
          <w:szCs w:val="22"/>
          <w:lang w:val="cs-CZ"/>
        </w:rPr>
        <w:t xml:space="preserve">, IČO: </w:t>
      </w:r>
      <w:r w:rsidRPr="00FC672C">
        <w:rPr>
          <w:rFonts w:asciiTheme="minorHAnsi" w:hAnsiTheme="minorHAnsi" w:cstheme="minorHAnsi"/>
          <w:szCs w:val="22"/>
          <w:shd w:val="clear" w:color="auto" w:fill="FFFFFF"/>
          <w:lang w:val="cs-CZ"/>
        </w:rPr>
        <w:t>10948929,</w:t>
      </w:r>
      <w:r>
        <w:rPr>
          <w:rFonts w:asciiTheme="minorHAnsi" w:hAnsiTheme="minorHAnsi" w:cstheme="minorHAnsi"/>
          <w:szCs w:val="22"/>
          <w:shd w:val="clear" w:color="auto" w:fill="FFFFFF"/>
          <w:lang w:val="cs-CZ"/>
        </w:rPr>
        <w:t xml:space="preserve"> společnost zapsaná </w:t>
      </w:r>
      <w:r w:rsidRPr="00FC672C">
        <w:rPr>
          <w:rFonts w:asciiTheme="minorHAnsi" w:hAnsiTheme="minorHAnsi" w:cstheme="minorHAnsi"/>
          <w:szCs w:val="22"/>
          <w:shd w:val="clear" w:color="auto" w:fill="FFFFFF"/>
          <w:lang w:val="cs-CZ"/>
        </w:rPr>
        <w:t xml:space="preserve">v obchodním rejstříku vedeném Městským soudem v Praze, </w:t>
      </w:r>
      <w:proofErr w:type="spellStart"/>
      <w:r w:rsidRPr="00FC672C">
        <w:rPr>
          <w:rFonts w:asciiTheme="minorHAnsi" w:hAnsiTheme="minorHAnsi" w:cstheme="minorHAnsi"/>
          <w:szCs w:val="22"/>
          <w:shd w:val="clear" w:color="auto" w:fill="FFFFFF"/>
          <w:lang w:val="cs-CZ"/>
        </w:rPr>
        <w:t>sp</w:t>
      </w:r>
      <w:proofErr w:type="spellEnd"/>
      <w:r w:rsidRPr="00FC672C">
        <w:rPr>
          <w:rFonts w:asciiTheme="minorHAnsi" w:hAnsiTheme="minorHAnsi" w:cstheme="minorHAnsi"/>
          <w:szCs w:val="22"/>
          <w:shd w:val="clear" w:color="auto" w:fill="FFFFFF"/>
          <w:lang w:val="cs-CZ"/>
        </w:rPr>
        <w:t>. značka C 350316 </w:t>
      </w:r>
    </w:p>
    <w:p w14:paraId="038A50B2" w14:textId="75273276" w:rsidR="00156AA9" w:rsidRPr="000F2684" w:rsidRDefault="00156AA9" w:rsidP="00156AA9">
      <w:pPr>
        <w:pStyle w:val="texte1x"/>
        <w:spacing w:before="0"/>
        <w:ind w:left="0"/>
        <w:contextualSpacing/>
        <w:rPr>
          <w:rFonts w:asciiTheme="minorHAnsi" w:hAnsiTheme="minorHAnsi" w:cstheme="minorHAnsi"/>
          <w:szCs w:val="22"/>
          <w:shd w:val="clear" w:color="auto" w:fill="FFFFFF"/>
          <w:lang w:val="cs-CZ"/>
        </w:rPr>
      </w:pPr>
      <w:r w:rsidRPr="000F2684">
        <w:rPr>
          <w:rFonts w:asciiTheme="minorHAnsi" w:hAnsiTheme="minorHAnsi" w:cstheme="minorHAnsi"/>
          <w:szCs w:val="22"/>
          <w:lang w:val="cs-CZ"/>
        </w:rPr>
        <w:t>(dále jen „</w:t>
      </w:r>
      <w:r w:rsidRPr="000F2684">
        <w:rPr>
          <w:rFonts w:asciiTheme="minorHAnsi" w:hAnsiTheme="minorHAnsi" w:cstheme="minorHAnsi"/>
          <w:b/>
          <w:szCs w:val="22"/>
          <w:lang w:val="cs-CZ"/>
        </w:rPr>
        <w:t>Rozdělovaná společnost</w:t>
      </w:r>
      <w:r w:rsidRPr="000F2684">
        <w:rPr>
          <w:rFonts w:asciiTheme="minorHAnsi" w:hAnsiTheme="minorHAnsi" w:cstheme="minorHAnsi"/>
          <w:szCs w:val="22"/>
          <w:lang w:val="cs-CZ"/>
        </w:rPr>
        <w:t>“)</w:t>
      </w:r>
    </w:p>
    <w:p w14:paraId="6C4665F2" w14:textId="77777777" w:rsidR="00156AA9" w:rsidRPr="000F2684" w:rsidRDefault="00156AA9" w:rsidP="00156AA9">
      <w:pPr>
        <w:pStyle w:val="texte1x"/>
        <w:spacing w:before="0"/>
        <w:ind w:left="0"/>
        <w:contextualSpacing/>
        <w:rPr>
          <w:rFonts w:asciiTheme="minorHAnsi" w:hAnsiTheme="minorHAnsi" w:cstheme="minorHAnsi"/>
          <w:szCs w:val="22"/>
          <w:lang w:val="cs-CZ"/>
        </w:rPr>
      </w:pPr>
    </w:p>
    <w:p w14:paraId="63C1F856" w14:textId="77777777" w:rsidR="00156AA9" w:rsidRPr="000F2684" w:rsidRDefault="00156AA9" w:rsidP="00156AA9">
      <w:pPr>
        <w:pStyle w:val="texte1x"/>
        <w:spacing w:before="0"/>
        <w:ind w:left="0"/>
        <w:contextualSpacing/>
        <w:rPr>
          <w:rFonts w:asciiTheme="minorHAnsi" w:hAnsiTheme="minorHAnsi" w:cstheme="minorHAnsi"/>
          <w:szCs w:val="22"/>
          <w:lang w:val="cs-CZ"/>
        </w:rPr>
      </w:pPr>
      <w:r w:rsidRPr="000F2684">
        <w:rPr>
          <w:rFonts w:asciiTheme="minorHAnsi" w:hAnsiTheme="minorHAnsi" w:cstheme="minorHAnsi"/>
          <w:szCs w:val="22"/>
          <w:lang w:val="cs-CZ"/>
        </w:rPr>
        <w:t>a</w:t>
      </w:r>
    </w:p>
    <w:p w14:paraId="2360EC29" w14:textId="77777777" w:rsidR="00156AA9" w:rsidRDefault="00156AA9" w:rsidP="00156AA9">
      <w:pPr>
        <w:pStyle w:val="texte1x"/>
        <w:spacing w:before="0"/>
        <w:ind w:left="0"/>
        <w:contextualSpacing/>
        <w:rPr>
          <w:rFonts w:asciiTheme="minorHAnsi" w:hAnsiTheme="minorHAnsi" w:cstheme="minorHAnsi"/>
          <w:szCs w:val="22"/>
          <w:lang w:val="cs-CZ"/>
        </w:rPr>
      </w:pPr>
    </w:p>
    <w:p w14:paraId="39995DB9" w14:textId="77777777" w:rsidR="00525DC1" w:rsidRDefault="00525DC1" w:rsidP="00525DC1">
      <w:pPr>
        <w:pStyle w:val="texte1x"/>
        <w:spacing w:before="0"/>
        <w:ind w:left="0"/>
        <w:contextualSpacing/>
        <w:rPr>
          <w:rFonts w:asciiTheme="minorHAnsi" w:hAnsiTheme="minorHAnsi" w:cstheme="minorHAnsi"/>
          <w:szCs w:val="22"/>
          <w:lang w:val="cs-CZ"/>
        </w:rPr>
      </w:pPr>
      <w:r w:rsidRPr="00FC672C">
        <w:rPr>
          <w:rFonts w:asciiTheme="minorHAnsi" w:hAnsiTheme="minorHAnsi" w:cstheme="minorHAnsi"/>
          <w:b/>
          <w:szCs w:val="22"/>
          <w:shd w:val="clear" w:color="auto" w:fill="FFFFFF"/>
          <w:lang w:val="cs-CZ"/>
        </w:rPr>
        <w:t>ALV Holding s.r.o.</w:t>
      </w:r>
    </w:p>
    <w:p w14:paraId="5386177B" w14:textId="575CD2BF" w:rsidR="00525DC1" w:rsidRPr="00525DC1" w:rsidRDefault="00525DC1" w:rsidP="00525DC1">
      <w:pPr>
        <w:pStyle w:val="texte1x"/>
        <w:spacing w:before="0"/>
        <w:ind w:left="0"/>
        <w:contextualSpacing/>
        <w:rPr>
          <w:rFonts w:asciiTheme="minorHAnsi" w:hAnsiTheme="minorHAnsi" w:cstheme="minorHAnsi"/>
          <w:szCs w:val="22"/>
          <w:shd w:val="clear" w:color="auto" w:fill="FFFFFF"/>
          <w:lang w:val="cs-CZ"/>
        </w:rPr>
      </w:pPr>
      <w:r w:rsidRPr="00FC672C">
        <w:rPr>
          <w:rFonts w:asciiTheme="minorHAnsi" w:hAnsiTheme="minorHAnsi" w:cstheme="minorHAnsi"/>
          <w:szCs w:val="22"/>
          <w:lang w:val="cs-CZ"/>
        </w:rPr>
        <w:t xml:space="preserve">se sídlem </w:t>
      </w:r>
      <w:r w:rsidRPr="00FC672C">
        <w:rPr>
          <w:rFonts w:asciiTheme="minorHAnsi" w:hAnsiTheme="minorHAnsi" w:cstheme="minorHAnsi"/>
          <w:szCs w:val="22"/>
          <w:shd w:val="clear" w:color="auto" w:fill="FFFFFF"/>
          <w:lang w:val="cs-CZ"/>
        </w:rPr>
        <w:t>Mánesova 917/28, Vinohrady, 120 00 Praha 2</w:t>
      </w:r>
      <w:r w:rsidRPr="00FC672C">
        <w:rPr>
          <w:rFonts w:asciiTheme="minorHAnsi" w:hAnsiTheme="minorHAnsi" w:cstheme="minorHAnsi"/>
          <w:szCs w:val="22"/>
          <w:lang w:val="cs-CZ"/>
        </w:rPr>
        <w:t xml:space="preserve">, IČO: </w:t>
      </w:r>
      <w:r w:rsidRPr="00FC672C">
        <w:rPr>
          <w:rFonts w:asciiTheme="minorHAnsi" w:hAnsiTheme="minorHAnsi" w:cstheme="minorHAnsi"/>
          <w:szCs w:val="22"/>
          <w:shd w:val="clear" w:color="auto" w:fill="FFFFFF"/>
          <w:lang w:val="cs-CZ"/>
        </w:rPr>
        <w:t xml:space="preserve">21473846, </w:t>
      </w:r>
      <w:r>
        <w:rPr>
          <w:rFonts w:asciiTheme="minorHAnsi" w:hAnsiTheme="minorHAnsi" w:cstheme="minorHAnsi"/>
          <w:szCs w:val="22"/>
          <w:shd w:val="clear" w:color="auto" w:fill="FFFFFF"/>
          <w:lang w:val="cs-CZ"/>
        </w:rPr>
        <w:t xml:space="preserve">společnost </w:t>
      </w:r>
      <w:r>
        <w:rPr>
          <w:rFonts w:asciiTheme="minorHAnsi" w:hAnsiTheme="minorHAnsi" w:cstheme="minorHAnsi"/>
          <w:szCs w:val="22"/>
          <w:lang w:val="cs-CZ"/>
        </w:rPr>
        <w:t>zapsaná</w:t>
      </w:r>
      <w:r w:rsidRPr="00FC672C">
        <w:rPr>
          <w:rFonts w:asciiTheme="minorHAnsi" w:hAnsiTheme="minorHAnsi" w:cstheme="minorHAnsi"/>
          <w:szCs w:val="22"/>
          <w:lang w:val="cs-CZ"/>
        </w:rPr>
        <w:t xml:space="preserve"> v obchodním rejstříku vedeném Městským soudem v Praze </w:t>
      </w:r>
      <w:proofErr w:type="spellStart"/>
      <w:r w:rsidRPr="00FC672C">
        <w:rPr>
          <w:rFonts w:asciiTheme="minorHAnsi" w:hAnsiTheme="minorHAnsi" w:cstheme="minorHAnsi"/>
          <w:szCs w:val="22"/>
          <w:lang w:val="cs-CZ"/>
        </w:rPr>
        <w:t>sp</w:t>
      </w:r>
      <w:proofErr w:type="spellEnd"/>
      <w:r w:rsidRPr="00FC672C">
        <w:rPr>
          <w:rFonts w:asciiTheme="minorHAnsi" w:hAnsiTheme="minorHAnsi" w:cstheme="minorHAnsi"/>
          <w:szCs w:val="22"/>
          <w:lang w:val="cs-CZ"/>
        </w:rPr>
        <w:t xml:space="preserve">. značka C </w:t>
      </w:r>
      <w:r w:rsidRPr="00FC672C">
        <w:rPr>
          <w:rFonts w:asciiTheme="minorHAnsi" w:hAnsiTheme="minorHAnsi" w:cstheme="minorHAnsi"/>
          <w:szCs w:val="22"/>
          <w:shd w:val="clear" w:color="auto" w:fill="FFFFFF"/>
          <w:lang w:val="cs-CZ"/>
        </w:rPr>
        <w:t>402455</w:t>
      </w:r>
    </w:p>
    <w:p w14:paraId="41A94B76" w14:textId="6F0FCDD7" w:rsidR="00156AA9" w:rsidRPr="000F2684" w:rsidRDefault="00156AA9" w:rsidP="00156AA9">
      <w:pPr>
        <w:pStyle w:val="texte1x"/>
        <w:spacing w:before="0"/>
        <w:ind w:left="0"/>
        <w:contextualSpacing/>
        <w:rPr>
          <w:rFonts w:asciiTheme="minorHAnsi" w:hAnsiTheme="minorHAnsi" w:cstheme="minorHAnsi"/>
          <w:szCs w:val="22"/>
          <w:lang w:val="cs-CZ"/>
        </w:rPr>
      </w:pPr>
      <w:r>
        <w:rPr>
          <w:rFonts w:asciiTheme="minorHAnsi" w:hAnsiTheme="minorHAnsi" w:cstheme="minorHAnsi"/>
          <w:szCs w:val="22"/>
          <w:shd w:val="clear" w:color="auto" w:fill="FFFFFF"/>
          <w:lang w:val="cs-CZ"/>
        </w:rPr>
        <w:t>(dále jen „</w:t>
      </w:r>
      <w:r w:rsidRPr="000F2684">
        <w:rPr>
          <w:rFonts w:asciiTheme="minorHAnsi" w:hAnsiTheme="minorHAnsi" w:cstheme="minorHAnsi"/>
          <w:b/>
          <w:szCs w:val="22"/>
          <w:shd w:val="clear" w:color="auto" w:fill="FFFFFF"/>
          <w:lang w:val="cs-CZ"/>
        </w:rPr>
        <w:t>Nástupnická společnost</w:t>
      </w:r>
      <w:r>
        <w:rPr>
          <w:rFonts w:asciiTheme="minorHAnsi" w:hAnsiTheme="minorHAnsi" w:cstheme="minorHAnsi"/>
          <w:szCs w:val="22"/>
          <w:shd w:val="clear" w:color="auto" w:fill="FFFFFF"/>
          <w:lang w:val="cs-CZ"/>
        </w:rPr>
        <w:t>“)</w:t>
      </w:r>
    </w:p>
    <w:p w14:paraId="16C0D57F" w14:textId="77777777" w:rsidR="00156AA9" w:rsidRPr="00BD1314" w:rsidRDefault="00156AA9" w:rsidP="00156AA9">
      <w:pPr>
        <w:pStyle w:val="texte1x"/>
        <w:spacing w:before="0"/>
        <w:ind w:left="0"/>
        <w:contextualSpacing/>
        <w:rPr>
          <w:rFonts w:asciiTheme="minorHAnsi" w:hAnsiTheme="minorHAnsi" w:cstheme="minorHAnsi"/>
          <w:color w:val="000000"/>
          <w:szCs w:val="22"/>
          <w:lang w:val="cs-CZ"/>
        </w:rPr>
      </w:pPr>
    </w:p>
    <w:p w14:paraId="7ECB24A0" w14:textId="77777777" w:rsidR="00156AA9" w:rsidRPr="00234C23" w:rsidRDefault="00156AA9" w:rsidP="00156AA9">
      <w:pPr>
        <w:pStyle w:val="FormtovanvHTML"/>
        <w:jc w:val="both"/>
        <w:rPr>
          <w:rFonts w:ascii="Calibri" w:hAnsi="Calibri" w:cs="Calibri"/>
          <w:color w:val="000000"/>
          <w:sz w:val="22"/>
          <w:szCs w:val="22"/>
        </w:rPr>
      </w:pPr>
      <w:r w:rsidRPr="00234C23">
        <w:rPr>
          <w:rFonts w:ascii="Calibri" w:hAnsi="Calibri" w:cs="Calibri"/>
          <w:sz w:val="22"/>
          <w:szCs w:val="22"/>
        </w:rPr>
        <w:t>(shora uvedené společnosti jsou osobami zúčastněnými na přeměně a jsou dále v textu společně označovány také jako „</w:t>
      </w:r>
      <w:r w:rsidRPr="00234C23">
        <w:rPr>
          <w:rFonts w:ascii="Calibri" w:hAnsi="Calibri" w:cs="Calibri"/>
          <w:b/>
          <w:sz w:val="22"/>
          <w:szCs w:val="22"/>
        </w:rPr>
        <w:t>Zúčastněné společnosti</w:t>
      </w:r>
      <w:r w:rsidRPr="00234C23">
        <w:rPr>
          <w:rFonts w:ascii="Calibri" w:hAnsi="Calibri" w:cs="Calibri"/>
          <w:sz w:val="22"/>
          <w:szCs w:val="22"/>
        </w:rPr>
        <w:t>“)</w:t>
      </w:r>
    </w:p>
    <w:p w14:paraId="4917E00F" w14:textId="77777777" w:rsidR="008F2AAD" w:rsidRPr="00D40D0B" w:rsidRDefault="008F2AAD" w:rsidP="008F2AAD">
      <w:pPr>
        <w:pStyle w:val="FormtovanvHTML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3FB7CE3" w14:textId="3B63EA5C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tímto v souladu s § 33 odst. 1 písm. b) </w:t>
      </w:r>
      <w:r w:rsidR="00373DC8">
        <w:rPr>
          <w:rFonts w:ascii="Calibri" w:hAnsi="Calibri" w:cs="Calibri"/>
          <w:color w:val="000000"/>
          <w:sz w:val="22"/>
          <w:szCs w:val="22"/>
        </w:rPr>
        <w:t xml:space="preserve">a § 33 odst. 3 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zákona č. 125/2008 Sb., o přeměnách obchodních společností a družstev, v platném znění (dále jen „zákon o přeměnách“), zveřejňuj</w:t>
      </w:r>
      <w:r w:rsidR="00525DC1">
        <w:rPr>
          <w:rFonts w:asciiTheme="minorHAnsi" w:hAnsiTheme="minorHAnsi" w:cstheme="minorHAnsi"/>
          <w:color w:val="000000"/>
          <w:sz w:val="22"/>
          <w:szCs w:val="22"/>
        </w:rPr>
        <w:t>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26695268" w14:textId="77777777" w:rsidR="00452C18" w:rsidRPr="00D40D0B" w:rsidRDefault="00452C18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587C620" w14:textId="1724D24A" w:rsidR="00110886" w:rsidRPr="00D40D0B" w:rsidRDefault="006428CE" w:rsidP="00110886">
      <w:pPr>
        <w:pStyle w:val="FormtovanvHTML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Zúčastněné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společnost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e účastní přeměny, a to formou rozdělení 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odštěpením sloučením, a to odštěpením vyčleněné části jmění Rozdělované společnosti</w:t>
      </w:r>
      <w:r w:rsidR="00373DC8">
        <w:rPr>
          <w:rFonts w:asciiTheme="minorHAnsi" w:hAnsiTheme="minorHAnsi" w:cstheme="minorHAnsi"/>
          <w:color w:val="000000"/>
          <w:sz w:val="22"/>
          <w:szCs w:val="22"/>
        </w:rPr>
        <w:t xml:space="preserve"> s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přechod</w:t>
      </w:r>
      <w:r w:rsidR="00373DC8">
        <w:rPr>
          <w:rFonts w:asciiTheme="minorHAnsi" w:hAnsiTheme="minorHAnsi" w:cstheme="minorHAnsi"/>
          <w:color w:val="000000"/>
          <w:sz w:val="22"/>
          <w:szCs w:val="22"/>
        </w:rPr>
        <w:t>em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tohoto vyčleněného jmění na Nástupnickou společnost</w:t>
      </w:r>
      <w:r w:rsidR="00373DC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1F2D759" w14:textId="77777777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C3C44BA" w14:textId="77777777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color w:val="000000"/>
          <w:sz w:val="22"/>
          <w:szCs w:val="22"/>
        </w:rPr>
        <w:t>I.</w:t>
      </w:r>
    </w:p>
    <w:p w14:paraId="7FB07220" w14:textId="77777777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color w:val="000000"/>
          <w:sz w:val="22"/>
          <w:szCs w:val="22"/>
        </w:rPr>
        <w:t>Upozornění pro věřitele</w:t>
      </w:r>
    </w:p>
    <w:p w14:paraId="2F173E85" w14:textId="77777777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9C648C3" w14:textId="4F0C8A1A" w:rsidR="008F2AAD" w:rsidRPr="00D40D0B" w:rsidRDefault="008F2AAD" w:rsidP="008F2AAD">
      <w:pPr>
        <w:pStyle w:val="FormtovanvHTML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Zúčastněn</w:t>
      </w:r>
      <w:r w:rsidR="006428CE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é</w:t>
      </w: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společnost</w:t>
      </w:r>
      <w:r w:rsidR="006428CE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upozorňuj</w:t>
      </w:r>
      <w:r w:rsidR="006428CE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í</w:t>
      </w: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věřitele na jejich práva podle § 35 až § 39 zákona o přeměnách.  </w:t>
      </w:r>
    </w:p>
    <w:p w14:paraId="36E22F84" w14:textId="77777777" w:rsidR="008F2AAD" w:rsidRPr="00D40D0B" w:rsidRDefault="008F2AAD" w:rsidP="008F2AAD">
      <w:pPr>
        <w:pStyle w:val="FormtovanvHTML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92FC0C2" w14:textId="7D1AAA06" w:rsidR="00350F27" w:rsidRPr="00D40D0B" w:rsidRDefault="00350F27" w:rsidP="00350F27">
      <w:pPr>
        <w:pStyle w:val="FormtovanvHTML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Věřitelé </w:t>
      </w:r>
      <w:r w:rsidRPr="00D40D0B">
        <w:rPr>
          <w:rFonts w:asciiTheme="minorHAnsi" w:hAnsiTheme="minorHAnsi" w:cstheme="minorHAnsi"/>
          <w:bCs/>
          <w:sz w:val="22"/>
          <w:szCs w:val="22"/>
        </w:rPr>
        <w:t>Zúčastněných společností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mohou požadovat poskytnutí dostatečného zajištění, jestliže se v důsledku přeměny zhorší dobytnost jejich dosud nesplatných pohledávek ze závazků vzniklých před zveřejněním projektu přeměny (založením do sbírky listin Zúčastněných společností); to platí obdobně i pro pohledávky budoucí nebo podmíněné.</w:t>
      </w:r>
    </w:p>
    <w:p w14:paraId="6802BC33" w14:textId="2F1AD72C" w:rsidR="00350F27" w:rsidRPr="00D40D0B" w:rsidRDefault="00350F27" w:rsidP="00350F27">
      <w:pPr>
        <w:pStyle w:val="FormtovanvHTML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Nedojde-li mezi věřitelem a Zúčastněnou společností k dohodě o způsobu zajištění pohledávky, zřídí dostatečné zajištění soud na návrh věřitele, který osvědčí skutečnosti nasvědčující tomu, že přeměna zhorší dobytnost jeho pohledávky. Soud zřídí dostatečné zajištění podle slušného uvážení s ohledem na druh a výši pohledávky.</w:t>
      </w:r>
    </w:p>
    <w:p w14:paraId="4BFAD5AE" w14:textId="2DBFBAE2" w:rsidR="00350F27" w:rsidRPr="00D40D0B" w:rsidRDefault="00350F27" w:rsidP="00350F27">
      <w:pPr>
        <w:pStyle w:val="FormtovanvHTML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O zřízení dostatečného zajištění rozhodne soud usnesením. Účinky zajištění nastávají nejdříve dnem, kdy se stal zápis přeměny do obchodního rejstříku účinným vůči třetím osobám.</w:t>
      </w:r>
    </w:p>
    <w:p w14:paraId="719D73C8" w14:textId="1DE1EB68" w:rsidR="008F2AAD" w:rsidRPr="00D40D0B" w:rsidRDefault="00350F27" w:rsidP="008F2AAD">
      <w:pPr>
        <w:pStyle w:val="FormtovanvHTML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Právo na dostatečné zajištění musí být uplatněno u soudu do 3 měsíců ode dne zveřejnění projektu přeměny založením do sbírky listin </w:t>
      </w:r>
      <w:r w:rsidR="006428CE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Zúčastněnou 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společnost</w:t>
      </w:r>
      <w:r w:rsidR="006428CE" w:rsidRPr="00D40D0B">
        <w:rPr>
          <w:rFonts w:asciiTheme="minorHAnsi" w:hAnsiTheme="minorHAnsi" w:cstheme="minorHAnsi"/>
          <w:color w:val="000000"/>
          <w:sz w:val="22"/>
          <w:szCs w:val="22"/>
        </w:rPr>
        <w:t>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, jinak zaniká. Podání návrhu nebrání zápisu přeměny do obchodního rejstříku. </w:t>
      </w:r>
    </w:p>
    <w:p w14:paraId="406FA2C9" w14:textId="0440C28E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Právo na poskytnutí </w:t>
      </w:r>
      <w:r w:rsidR="00350F27" w:rsidRPr="00D40D0B">
        <w:rPr>
          <w:rFonts w:asciiTheme="minorHAnsi" w:hAnsiTheme="minorHAnsi" w:cstheme="minorHAnsi"/>
          <w:color w:val="000000"/>
          <w:sz w:val="22"/>
          <w:szCs w:val="22"/>
        </w:rPr>
        <w:t>dostatečného zajištění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nemají věřitelé, kteří mají právo na přednostní uspokojení svých pohledávek v insolvenčním řízení nebo kteří se pro účely insolvenčního řízení považují za zajištěné věřitele nebo jejichž pohledávky vznikly až po zápisu </w:t>
      </w:r>
      <w:r w:rsidR="006428CE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rozdělení 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do obchodního rejstříku.</w:t>
      </w:r>
    </w:p>
    <w:p w14:paraId="3CA5FEE7" w14:textId="767D338A" w:rsidR="008F2AAD" w:rsidRPr="00D40D0B" w:rsidRDefault="00D40D0B" w:rsidP="008F2AAD">
      <w:pPr>
        <w:pStyle w:val="Normln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Zúčastněné společnosti </w:t>
      </w:r>
      <w:r w:rsidR="008F2AAD" w:rsidRPr="00D40D0B">
        <w:rPr>
          <w:rFonts w:asciiTheme="minorHAnsi" w:hAnsiTheme="minorHAnsi" w:cstheme="minorHAnsi"/>
          <w:color w:val="000000"/>
          <w:sz w:val="22"/>
          <w:szCs w:val="22"/>
        </w:rPr>
        <w:t>nevydal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8F2AAD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žádné dluhopisy ani jiné cenné papíry, s nimiž by byla spojena zvláštní práva. </w:t>
      </w:r>
    </w:p>
    <w:p w14:paraId="32C75A57" w14:textId="2A0A9B33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Povinnost splatit vklad a emisní kurs není </w:t>
      </w:r>
      <w:r w:rsidR="00905925" w:rsidRPr="00D40D0B">
        <w:rPr>
          <w:rFonts w:asciiTheme="minorHAnsi" w:hAnsiTheme="minorHAnsi" w:cstheme="minorHAnsi"/>
          <w:color w:val="000000"/>
          <w:sz w:val="22"/>
          <w:szCs w:val="22"/>
        </w:rPr>
        <w:t>rozdělením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dotčena.</w:t>
      </w:r>
    </w:p>
    <w:p w14:paraId="24E19359" w14:textId="77777777" w:rsidR="008F2AAD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24916DE" w14:textId="77777777" w:rsidR="00156AA9" w:rsidRDefault="00156AA9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3228C64" w14:textId="77777777" w:rsidR="00525DC1" w:rsidRPr="00D40D0B" w:rsidRDefault="00525DC1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CDE8BB4" w14:textId="33DF795D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II.</w:t>
      </w:r>
    </w:p>
    <w:p w14:paraId="00A27873" w14:textId="7C09826A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Upozornění pro </w:t>
      </w:r>
      <w:r w:rsidR="002076C1" w:rsidRPr="00D40D0B">
        <w:rPr>
          <w:rFonts w:asciiTheme="minorHAnsi" w:hAnsiTheme="minorHAnsi" w:cstheme="minorHAnsi"/>
          <w:b/>
          <w:color w:val="000000"/>
          <w:sz w:val="22"/>
          <w:szCs w:val="22"/>
        </w:rPr>
        <w:t>společníky</w:t>
      </w:r>
    </w:p>
    <w:p w14:paraId="73F37139" w14:textId="77777777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4B804E" w14:textId="6BE36CBB" w:rsidR="008F2AAD" w:rsidRPr="00D40D0B" w:rsidRDefault="00452C18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Zúčastněn</w:t>
      </w:r>
      <w:r w:rsid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é</w:t>
      </w:r>
      <w:r w:rsidR="00234C23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společnost</w:t>
      </w:r>
      <w:r w:rsid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F73004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8F2AAD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upozorňuj</w:t>
      </w:r>
      <w:r w:rsid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í</w:t>
      </w:r>
      <w:r w:rsidR="008F2AAD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své </w:t>
      </w:r>
      <w:r w:rsidR="002076C1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společníky</w:t>
      </w:r>
      <w:r w:rsidR="008F2AAD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že v souladu s ustanovením § </w:t>
      </w: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="002076C1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85</w:t>
      </w:r>
      <w:r w:rsidR="008F2AAD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zákona o přeměnách jim příslušejí tato práva:</w:t>
      </w:r>
    </w:p>
    <w:p w14:paraId="34862B98" w14:textId="77777777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6757A3E" w14:textId="069384A9" w:rsidR="002076C1" w:rsidRPr="00D40D0B" w:rsidRDefault="002076C1" w:rsidP="00207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Společnost zašle společníkům Zúčastněné společnosti nejméně dva týdny před konáním valné hromady, která bude schvalovat přeměnu (pokud se společníci tohoto práva nevzdají):</w:t>
      </w:r>
    </w:p>
    <w:p w14:paraId="1FD53E72" w14:textId="77777777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2C950E9" w14:textId="62A3F180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a) projekt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050BF554" w14:textId="2FB16912" w:rsidR="00CC54D4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b) účetní závěrk</w:t>
      </w:r>
      <w:r w:rsidR="00D40D0B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110886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E19A7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D40D0B" w:rsidRPr="00D40D0B">
        <w:rPr>
          <w:rFonts w:asciiTheme="minorHAnsi" w:hAnsiTheme="minorHAnsi" w:cstheme="minorHAnsi"/>
          <w:color w:val="000000"/>
          <w:sz w:val="22"/>
          <w:szCs w:val="22"/>
        </w:rPr>
        <w:t>účastněných společností za poslední 3 účetní období, jestliže zúčastněná společnost s ručením omezeným po tuto dobu trvá</w:t>
      </w:r>
      <w:r w:rsidR="00CC54D4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36CF44A0" w14:textId="7317ADA9" w:rsidR="00CC54D4" w:rsidRDefault="00CC54D4" w:rsidP="00CC5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234C23">
        <w:rPr>
          <w:rFonts w:ascii="Calibri" w:hAnsi="Calibri" w:cs="Calibri"/>
          <w:color w:val="000000"/>
          <w:sz w:val="22"/>
          <w:szCs w:val="22"/>
        </w:rPr>
        <w:t>c) konečn</w:t>
      </w:r>
      <w:r>
        <w:rPr>
          <w:rFonts w:ascii="Calibri" w:hAnsi="Calibri" w:cs="Calibri"/>
          <w:color w:val="000000"/>
          <w:sz w:val="22"/>
          <w:szCs w:val="22"/>
        </w:rPr>
        <w:t>é</w:t>
      </w:r>
      <w:r w:rsidRPr="00234C23">
        <w:rPr>
          <w:rFonts w:ascii="Calibri" w:hAnsi="Calibri" w:cs="Calibri"/>
          <w:color w:val="000000"/>
          <w:sz w:val="22"/>
          <w:szCs w:val="22"/>
        </w:rPr>
        <w:t xml:space="preserve"> účetní závěrk</w:t>
      </w:r>
      <w:r>
        <w:rPr>
          <w:rFonts w:ascii="Calibri" w:hAnsi="Calibri" w:cs="Calibri"/>
          <w:color w:val="000000"/>
          <w:sz w:val="22"/>
          <w:szCs w:val="22"/>
        </w:rPr>
        <w:t>y Zúčastněných</w:t>
      </w:r>
      <w:r w:rsidRPr="00234C23">
        <w:rPr>
          <w:rFonts w:ascii="Calibri" w:hAnsi="Calibri" w:cs="Calibri"/>
          <w:color w:val="000000"/>
          <w:sz w:val="22"/>
          <w:szCs w:val="22"/>
        </w:rPr>
        <w:t xml:space="preserve"> společnost</w:t>
      </w:r>
      <w:r>
        <w:rPr>
          <w:rFonts w:ascii="Calibri" w:hAnsi="Calibri" w:cs="Calibri"/>
          <w:color w:val="000000"/>
          <w:sz w:val="22"/>
          <w:szCs w:val="22"/>
        </w:rPr>
        <w:t>í</w:t>
      </w:r>
      <w:r w:rsidRPr="00234C2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6AAFCEF" w14:textId="11BD91D6" w:rsidR="008F2AAD" w:rsidRPr="00D40D0B" w:rsidRDefault="00CC54D4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d) </w:t>
      </w:r>
      <w:r w:rsidRPr="00234C23">
        <w:rPr>
          <w:rFonts w:ascii="Calibri" w:hAnsi="Calibri" w:cs="Calibri"/>
          <w:color w:val="000000"/>
          <w:sz w:val="22"/>
          <w:szCs w:val="22"/>
        </w:rPr>
        <w:t>zahajovací rozvah</w:t>
      </w:r>
      <w:r>
        <w:rPr>
          <w:rFonts w:ascii="Calibri" w:hAnsi="Calibri" w:cs="Calibri"/>
          <w:color w:val="000000"/>
          <w:sz w:val="22"/>
          <w:szCs w:val="22"/>
        </w:rPr>
        <w:t>y Zúčastněných</w:t>
      </w:r>
      <w:r w:rsidRPr="00234C23">
        <w:rPr>
          <w:rFonts w:ascii="Calibri" w:hAnsi="Calibri" w:cs="Calibri"/>
          <w:color w:val="000000"/>
          <w:sz w:val="22"/>
          <w:szCs w:val="22"/>
        </w:rPr>
        <w:t xml:space="preserve"> společnost</w:t>
      </w:r>
      <w:r>
        <w:rPr>
          <w:rFonts w:ascii="Calibri" w:hAnsi="Calibri" w:cs="Calibri"/>
          <w:color w:val="000000"/>
          <w:sz w:val="22"/>
          <w:szCs w:val="22"/>
        </w:rPr>
        <w:t>í</w:t>
      </w:r>
      <w:r w:rsidR="00BD131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D6A7C8E" w14:textId="77777777" w:rsidR="008F2AAD" w:rsidRPr="00D40D0B" w:rsidRDefault="008F2AAD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228A8FA" w14:textId="440BF27D" w:rsidR="00350F27" w:rsidRPr="00D40D0B" w:rsidRDefault="00373DC8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Zúčastněné společnosti </w:t>
      </w:r>
      <w:r w:rsidR="002076C1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upozorňuj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í</w:t>
      </w:r>
      <w:r w:rsidR="002076C1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své společníky</w:t>
      </w:r>
      <w:r w:rsidR="00350F27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že v souladu s ustanovením § 34 zákona o přeměnách jim příslušejí tato práva:</w:t>
      </w:r>
    </w:p>
    <w:p w14:paraId="0B2B33A1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B376952" w14:textId="62AC9088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Každý </w:t>
      </w:r>
      <w:r w:rsidR="002076C1" w:rsidRPr="00D40D0B">
        <w:rPr>
          <w:rFonts w:asciiTheme="minorHAnsi" w:hAnsiTheme="minorHAnsi" w:cstheme="minorHAnsi"/>
          <w:color w:val="000000"/>
          <w:sz w:val="22"/>
          <w:szCs w:val="22"/>
        </w:rPr>
        <w:t>společník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Zúčastněných společností, který o to požádá, má právo na informace, jež se týkají ostatních osob zúčastněných na přeměně, jsou-li důležité z hlediska přeměny, a to ode dne zveřejnění projektu přeměny (založením do sbírky listin Zúčastněných společností). </w:t>
      </w:r>
      <w:r w:rsidR="002076C1" w:rsidRPr="00D40D0B">
        <w:rPr>
          <w:rFonts w:asciiTheme="minorHAnsi" w:hAnsiTheme="minorHAnsi" w:cstheme="minorHAnsi"/>
          <w:color w:val="000000"/>
          <w:sz w:val="22"/>
          <w:szCs w:val="22"/>
        </w:rPr>
        <w:t>Společníci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Zúčastněných akciových společností mohou požadovat informace podle věty první jen na valné hromadě, která má schválit přeměnu.</w:t>
      </w:r>
    </w:p>
    <w:p w14:paraId="425F3AD6" w14:textId="3654DC9F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Zúčastněná společnost informace neposkytne, pokud </w:t>
      </w: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(a)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by poskytnutí těchto informací mohlo způsobit značnou újmu osobě zúčastněné na přeměně nebo jí ovládající nebo jí ovládané osobě, </w:t>
      </w: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(b)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tyto informace tvoří předmět obchodního tajemství, nebo </w:t>
      </w: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(c)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se jedná o utajovanou informaci podle zákona upravujícího utajované informace.</w:t>
      </w:r>
    </w:p>
    <w:p w14:paraId="6E62466B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829FB77" w14:textId="4B1F7118" w:rsidR="00350F27" w:rsidRDefault="00373DC8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Zúčastněné společnosti upozorňuj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í</w:t>
      </w: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452C18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své </w:t>
      </w:r>
      <w:r w:rsidR="002076C1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společníky</w:t>
      </w:r>
      <w:r w:rsidR="00350F27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že v souladu s ustanovením § 7 a násl. zákona o přeměnách jim příslušejí tato práva:</w:t>
      </w:r>
    </w:p>
    <w:p w14:paraId="58FF2F85" w14:textId="77777777" w:rsidR="00156AA9" w:rsidRPr="00D40D0B" w:rsidRDefault="00156AA9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69DD050" w14:textId="5BD56373" w:rsidR="00350F27" w:rsidRDefault="002076C1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Společník</w:t>
      </w:r>
      <w:r w:rsidR="00350F27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Zúčastněné společnosti se může vzdát svým prohlášením s úředně ověřeným podpisem nebo prohlášením učiněným na valné hromadě (kdy toto prohlášení bude uvedení v notářském zápisu o rozhodnutí valné hromady):</w:t>
      </w:r>
    </w:p>
    <w:p w14:paraId="5F7077F2" w14:textId="77777777" w:rsidR="00525DC1" w:rsidRPr="00D40D0B" w:rsidRDefault="00525DC1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F4D5358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a) práva na dorovnání,</w:t>
      </w:r>
    </w:p>
    <w:p w14:paraId="04833F59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b) práva na výměnu podílů při fúzi nebo rozdělení,</w:t>
      </w:r>
    </w:p>
    <w:p w14:paraId="3A21EDDC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c) práva na náhradu škody,</w:t>
      </w:r>
    </w:p>
    <w:p w14:paraId="42AED110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d) práva na odkup svých akcií při fúzi nebo rozdělení akciové společnosti,</w:t>
      </w:r>
    </w:p>
    <w:p w14:paraId="479718DF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e) práva podat návrh na určení neplatnosti projektu přeměny a návrh na vyslovení neplatnosti rozhodnutí o schválení přeměny,</w:t>
      </w:r>
    </w:p>
    <w:p w14:paraId="0AA1F67C" w14:textId="2460197F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f) jedná-li se o společníka společnosti s ručením omezeným, práva na zaslání dokumentů při přeměně společnosti s ručením omezeným; jestliže se společník vzdal svého práva na zaslání dokumentů, má se za to, že se vzdal práva na zaslání všech dokumentů stanovených </w:t>
      </w:r>
      <w:r w:rsidR="00B56C51" w:rsidRPr="00D40D0B">
        <w:rPr>
          <w:rFonts w:asciiTheme="minorHAnsi" w:hAnsiTheme="minorHAnsi" w:cstheme="minorHAnsi"/>
          <w:color w:val="000000"/>
          <w:sz w:val="22"/>
          <w:szCs w:val="22"/>
        </w:rPr>
        <w:t>zákonem o přeměnách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, nebo</w:t>
      </w:r>
    </w:p>
    <w:p w14:paraId="0279B3DD" w14:textId="7A20A0B4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g) jiných práv, a to i těch, která vzniknou v budoucnu, poskytuje-li mu je zákon</w:t>
      </w:r>
      <w:r w:rsidR="00DF6B17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o p</w:t>
      </w:r>
      <w:r w:rsidR="00D82DA3" w:rsidRPr="00D40D0B">
        <w:rPr>
          <w:rFonts w:asciiTheme="minorHAnsi" w:hAnsiTheme="minorHAnsi" w:cstheme="minorHAnsi"/>
          <w:color w:val="000000"/>
          <w:sz w:val="22"/>
          <w:szCs w:val="22"/>
        </w:rPr>
        <w:t>ř</w:t>
      </w:r>
      <w:r w:rsidR="00DF6B17" w:rsidRPr="00D40D0B">
        <w:rPr>
          <w:rFonts w:asciiTheme="minorHAnsi" w:hAnsiTheme="minorHAnsi" w:cstheme="minorHAnsi"/>
          <w:color w:val="000000"/>
          <w:sz w:val="22"/>
          <w:szCs w:val="22"/>
        </w:rPr>
        <w:t>eměnách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v souvislosti s přeměnou společnosti nebo družstva, pokud </w:t>
      </w:r>
      <w:r w:rsidR="00CF3404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zákon o přeměnách 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nestanoví něco jiného.</w:t>
      </w:r>
    </w:p>
    <w:p w14:paraId="235A82EC" w14:textId="0B9E4A62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Vzdá-li se </w:t>
      </w:r>
      <w:r w:rsidR="002076C1" w:rsidRPr="00D40D0B">
        <w:rPr>
          <w:rFonts w:asciiTheme="minorHAnsi" w:hAnsiTheme="minorHAnsi" w:cstheme="minorHAnsi"/>
          <w:color w:val="000000"/>
          <w:sz w:val="22"/>
          <w:szCs w:val="22"/>
        </w:rPr>
        <w:t>společník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práva na výměnu podílu, nevzniká mu účast na Nástupnické společnosti. </w:t>
      </w:r>
    </w:p>
    <w:p w14:paraId="328BF39E" w14:textId="6103A841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Vzdá-li se </w:t>
      </w:r>
      <w:r w:rsidR="002076C1" w:rsidRPr="00D40D0B">
        <w:rPr>
          <w:rFonts w:asciiTheme="minorHAnsi" w:hAnsiTheme="minorHAnsi" w:cstheme="minorHAnsi"/>
          <w:color w:val="000000"/>
          <w:sz w:val="22"/>
          <w:szCs w:val="22"/>
        </w:rPr>
        <w:t>společník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práva na výměnu podílu, k jeho účasti na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Rozdělované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společnosti se při vyhotovení projektu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nepřihlíží ani pro účely stanovení výměnného poměru podílů. Vzdání se práva na výměnu podílů po vyhotovení projektu přeměny se zakazuje. </w:t>
      </w:r>
      <w:r w:rsidR="002076C1" w:rsidRPr="00D40D0B">
        <w:rPr>
          <w:rFonts w:asciiTheme="minorHAnsi" w:hAnsiTheme="minorHAnsi" w:cstheme="minorHAnsi"/>
          <w:color w:val="000000"/>
          <w:sz w:val="22"/>
          <w:szCs w:val="22"/>
        </w:rPr>
        <w:t>Společník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Zúčastněné společnosti se nemůže vzdát práva na výměnu podílu, pokud by v Nástupnické společnosti nezůstal alespoň 1 společník.</w:t>
      </w:r>
    </w:p>
    <w:p w14:paraId="4ACBFAAA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D605AD" w14:textId="0AA1857D" w:rsidR="00350F27" w:rsidRPr="00D40D0B" w:rsidRDefault="002076C1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Společník </w:t>
      </w:r>
      <w:r w:rsidR="00350F27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Zúčastněné společnosti může udělit souhlas svým prohlášením s úředně ověřeným podpisem nebo prohlášením učiněným na valné hromadě (kdy toto prohlášení bude uvedení v notářském zápisu o rozhodnutí valné hromady) s tím, že </w:t>
      </w:r>
      <w:r w:rsidR="00350F27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(a)</w:t>
      </w:r>
      <w:r w:rsidR="00350F27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jakákoliv zpráva týkající se přeměny, vyžadovaná zákonem o přeměnách, nebude vypracována, ledaže jde o zprávu auditora o ověření účetní závěrky, </w:t>
      </w:r>
      <w:r w:rsidR="00350F27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(b)</w:t>
      </w:r>
      <w:r w:rsidR="00350F27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že není vyžadována mezitímní účetní závěrka, přestože poslední řádná nebo mimořádná účetní závěrka, popřípadě konečná účetní závěrka byla sestavena z údajů ke dni, od něhož ke dni vyhotovení projektu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="00350F27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uplynulo více než 6 měsíců, </w:t>
      </w:r>
      <w:r w:rsidR="00350F27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(c)</w:t>
      </w:r>
      <w:r w:rsidR="00350F27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že nevyžaduje seznámení se změnami jmění, k nimž došlo v období od vyhotovení projektu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="00350F27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do dne konání valné hromady.</w:t>
      </w:r>
    </w:p>
    <w:p w14:paraId="24EDB86A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09E636C" w14:textId="0B680157" w:rsidR="00350F27" w:rsidRDefault="00373DC8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Zúčastněné společnosti upozorňuj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í</w:t>
      </w: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452C18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své </w:t>
      </w:r>
      <w:r w:rsidR="002076C1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společníky</w:t>
      </w:r>
      <w:r w:rsidR="00350F27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že v souladu s ustanovením § 45 a násl. zákona o přeměnách jim příslušejí tato práva:</w:t>
      </w:r>
    </w:p>
    <w:p w14:paraId="50CED83C" w14:textId="77777777" w:rsidR="00156AA9" w:rsidRPr="00D40D0B" w:rsidRDefault="00156AA9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17E7A54" w14:textId="530BB0E1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Není-li výměnný poměr podílů spolu s případnými doplatky uvedený v projektu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rozdělení 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k rozhodnému dni přiměřený nebo nepřiznává-li projekt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 sloučením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076C1" w:rsidRPr="00D40D0B">
        <w:rPr>
          <w:rFonts w:asciiTheme="minorHAnsi" w:hAnsiTheme="minorHAnsi" w:cstheme="minorHAnsi"/>
          <w:color w:val="000000"/>
          <w:sz w:val="22"/>
          <w:szCs w:val="22"/>
        </w:rPr>
        <w:t>společníkům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nástupnické společnosti, jejichž podíly se nevyměňují, k rozhodnému dni přiměřený doplatek, mají </w:t>
      </w:r>
      <w:r w:rsidR="002076C1" w:rsidRPr="00D40D0B">
        <w:rPr>
          <w:rFonts w:asciiTheme="minorHAnsi" w:hAnsiTheme="minorHAnsi" w:cstheme="minorHAnsi"/>
          <w:color w:val="000000"/>
          <w:sz w:val="22"/>
          <w:szCs w:val="22"/>
        </w:rPr>
        <w:t>společníci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zúčastněné společnosti při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(dále jen „oprávněné osoby“), vůči nástupnické společnosti (dále jen „povinná osoba“) právo na dorovnání v penězích (dále jen „dorovnání“), nestanoví-li zákon o přeměnách něco jiného. Na základě dohody mezi oprávněnou a povinnou osobou lze dorovnání poskytnout též nepeněžitou formou, zejména jako podíl v nástupnické společnosti. </w:t>
      </w:r>
    </w:p>
    <w:p w14:paraId="2416A145" w14:textId="6118400A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Právo na dorovnání má oprávněná osoba pouze ve vztahu k podílu, který byl v jejím majetku v den schválení přeměny té osoby zúčastněné na přeměně, v níž tento podíl měla. Právo na dorovnání přechází na právního nástupce oprávněné osoby, ledaže nabyl podíl převodem, a ode dne zápisu </w:t>
      </w:r>
      <w:r w:rsidR="00905925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do obchodního rejstříku je i samostatně převoditelné.</w:t>
      </w:r>
    </w:p>
    <w:p w14:paraId="2DC1BDA8" w14:textId="536860A3" w:rsidR="00350F27" w:rsidRPr="00D40D0B" w:rsidRDefault="00350F27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Právo na dorovnání musí být uplatněno u povinné osoby alespoň jednou z oprávněných osob nejpozději do 6 měsíců ode dne, kdy se zápis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do obchodního rejstříku stal účinným vůči třetím osobám, jinak toto právo zaniká.</w:t>
      </w:r>
    </w:p>
    <w:p w14:paraId="5C86ADD2" w14:textId="77777777" w:rsidR="00350F27" w:rsidRPr="00D40D0B" w:rsidRDefault="00350F27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57B5C63" w14:textId="1ACDD644" w:rsidR="00350F27" w:rsidRDefault="00373DC8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Zúčastněné společnosti upozorňuj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í</w:t>
      </w: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452C18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své </w:t>
      </w:r>
      <w:r w:rsidR="004E19A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společníky</w:t>
      </w:r>
      <w:r w:rsidR="00350F27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že v souladu s ustanovením § 49a a násl. zákona o přeměnách jim příslušejí tato práva:</w:t>
      </w:r>
    </w:p>
    <w:p w14:paraId="2A4A4440" w14:textId="77777777" w:rsidR="00156AA9" w:rsidRPr="00D40D0B" w:rsidRDefault="00156AA9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8730548" w14:textId="665DF52B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Podstatná změna jmění:</w:t>
      </w:r>
    </w:p>
    <w:p w14:paraId="1AD05987" w14:textId="173B62E2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Právo odprodat svůj podíl v nástupnické společnosti této společnosti, jestliže mezi rozhodným dnem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rozdělení 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a zápisem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do obchodního rejstříku dojde k podstatné změně nebo změnám týkajícím se jmění kterékoliv ze společností zúčastněných na přeměně, jež by odůvodňovaly jiný výměnný poměr podílů, má osoba,</w:t>
      </w:r>
    </w:p>
    <w:p w14:paraId="798D3E2D" w14:textId="7C036059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a) která byla společníkem zúčastněné společnosti ke dni schválení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</w:p>
    <w:p w14:paraId="3A973B42" w14:textId="3A4ED15E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b) která hlasovala proti schválení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56C93701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c) v jejíž neprospěch se zhoršil výměnný poměr podílu a</w:t>
      </w:r>
    </w:p>
    <w:p w14:paraId="00500E03" w14:textId="58D01CA9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d) která od zápisu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do obchodního rejstříku nevykonávala práva společníka v nástupnické společnosti, kromě práva na výměnu podílu za podíl v nástupnické společnosti.</w:t>
      </w:r>
    </w:p>
    <w:p w14:paraId="1A364B1B" w14:textId="047862EF" w:rsidR="00350F27" w:rsidRPr="00D40D0B" w:rsidRDefault="002076C1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Společník</w:t>
      </w:r>
      <w:r w:rsidR="00350F27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je oprávněn uplatnit právo na odkoupení podílu na nástupnické společnosti, se kterým hlasoval proti schválení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="00350F27"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 nebo který mu byl vyměněn za podíl na zanikající společnosti, se kterým hlasoval proti schválení </w:t>
      </w:r>
      <w:r w:rsidR="00452C18" w:rsidRPr="00D40D0B">
        <w:rPr>
          <w:rFonts w:asciiTheme="minorHAnsi" w:hAnsiTheme="minorHAnsi" w:cstheme="minorHAnsi"/>
          <w:color w:val="000000"/>
          <w:sz w:val="22"/>
          <w:szCs w:val="22"/>
        </w:rPr>
        <w:t>rozdělení</w:t>
      </w:r>
      <w:r w:rsidR="00350F27" w:rsidRPr="00D40D0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A0978EF" w14:textId="2D8CB2E9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>Pravidla odkupu jsou upravena v zákoně o přeměnách.</w:t>
      </w:r>
    </w:p>
    <w:p w14:paraId="7FD0C19D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5A472B3" w14:textId="48B0AE24" w:rsidR="00350F27" w:rsidRDefault="00452C18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Zúčastněná společnost upozorňuje své </w:t>
      </w:r>
      <w:r w:rsidR="002076C1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společníky</w:t>
      </w:r>
      <w:r w:rsidR="00350F27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že v souladu s ustanovením § </w:t>
      </w:r>
      <w:r w:rsidR="002076C1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287b</w:t>
      </w:r>
      <w:r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odst. 5</w:t>
      </w:r>
      <w:r w:rsidR="00350F27" w:rsidRPr="00D40D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zákona o přeměnách jim příslušejí tato práva:</w:t>
      </w:r>
    </w:p>
    <w:p w14:paraId="7E29058A" w14:textId="77777777" w:rsidR="00156AA9" w:rsidRPr="00D40D0B" w:rsidRDefault="00156AA9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CCF7B30" w14:textId="06C68B7A" w:rsidR="00350F27" w:rsidRPr="00156AA9" w:rsidRDefault="002076C1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color w:val="000000"/>
          <w:sz w:val="22"/>
          <w:szCs w:val="22"/>
        </w:rPr>
        <w:t xml:space="preserve">Společníci nástupnické společnosti, jejichž vklady dosahují alespoň 5 % základního kapitálu nástupnické společnosti před rozdělením, mají právo požadovat svolání valné hromady nástupnické společnosti za </w:t>
      </w:r>
      <w:r w:rsidRPr="00D40D0B">
        <w:rPr>
          <w:rFonts w:asciiTheme="minorHAnsi" w:hAnsiTheme="minorHAnsi" w:cstheme="minorHAnsi"/>
          <w:color w:val="000000"/>
          <w:sz w:val="22"/>
          <w:szCs w:val="22"/>
        </w:rPr>
        <w:lastRenderedPageBreak/>
        <w:t>účelem schválení rozdělení do 1 měsíce ode dne, v němž bylo zveřejněno upozornění údaje podle </w:t>
      </w:r>
      <w:hyperlink r:id="rId4" w:history="1">
        <w:r w:rsidRPr="00D40D0B">
          <w:rPr>
            <w:rStyle w:val="Hypertextovodkaz"/>
            <w:rFonts w:asciiTheme="minorHAnsi" w:hAnsiTheme="minorHAnsi" w:cstheme="minorHAnsi"/>
            <w:sz w:val="22"/>
            <w:szCs w:val="22"/>
          </w:rPr>
          <w:t>§ 33 odst. 1 písm. b)</w:t>
        </w:r>
      </w:hyperlink>
      <w:r w:rsidRPr="00D40D0B">
        <w:rPr>
          <w:rFonts w:asciiTheme="minorHAnsi" w:hAnsiTheme="minorHAnsi" w:cstheme="minorHAnsi"/>
          <w:color w:val="000000"/>
          <w:sz w:val="22"/>
          <w:szCs w:val="22"/>
        </w:rPr>
        <w:t> nebo </w:t>
      </w:r>
      <w:hyperlink r:id="rId5" w:history="1">
        <w:r w:rsidRPr="00D40D0B">
          <w:rPr>
            <w:rStyle w:val="Hypertextovodkaz"/>
            <w:rFonts w:asciiTheme="minorHAnsi" w:hAnsiTheme="minorHAnsi" w:cstheme="minorHAnsi"/>
            <w:sz w:val="22"/>
            <w:szCs w:val="22"/>
          </w:rPr>
          <w:t>§ 33a odst. 2 písm. b)</w:t>
        </w:r>
      </w:hyperlink>
      <w:r w:rsidRPr="00D40D0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2919C35" w14:textId="3F143DE3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color w:val="000000"/>
          <w:sz w:val="22"/>
          <w:szCs w:val="22"/>
        </w:rPr>
        <w:t>III.</w:t>
      </w:r>
    </w:p>
    <w:p w14:paraId="372277D8" w14:textId="35E60431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/>
          <w:color w:val="000000"/>
          <w:sz w:val="22"/>
          <w:szCs w:val="22"/>
        </w:rPr>
        <w:t>Upozornění pro zaměstnance</w:t>
      </w:r>
    </w:p>
    <w:p w14:paraId="2A7B7FD8" w14:textId="77777777" w:rsidR="00350F27" w:rsidRPr="00D40D0B" w:rsidRDefault="00350F27" w:rsidP="0035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4ACF78C" w14:textId="746ED558" w:rsidR="00350F27" w:rsidRPr="00D40D0B" w:rsidRDefault="00350F27" w:rsidP="00A84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40D0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Zákon o přeměnách zaměstnancům žádná </w:t>
      </w:r>
      <w:r w:rsidR="002076C1" w:rsidRPr="00D40D0B">
        <w:rPr>
          <w:rFonts w:asciiTheme="minorHAnsi" w:hAnsiTheme="minorHAnsi" w:cstheme="minorHAnsi"/>
          <w:bCs/>
          <w:color w:val="000000"/>
          <w:sz w:val="22"/>
          <w:szCs w:val="22"/>
        </w:rPr>
        <w:t>zvláštní</w:t>
      </w:r>
      <w:r w:rsidRPr="00D40D0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práva nepřiznává.</w:t>
      </w:r>
    </w:p>
    <w:p w14:paraId="7709FADD" w14:textId="77777777" w:rsidR="00350F27" w:rsidRPr="00D40D0B" w:rsidRDefault="00350F27" w:rsidP="008F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7E13392" w14:textId="77777777" w:rsidR="00156AA9" w:rsidRDefault="00156AA9" w:rsidP="005D7601">
      <w:pPr>
        <w:pStyle w:val="texte1x"/>
        <w:spacing w:before="0"/>
        <w:ind w:left="0"/>
        <w:contextualSpacing/>
        <w:rPr>
          <w:rFonts w:asciiTheme="minorHAnsi" w:hAnsiTheme="minorHAnsi" w:cstheme="minorHAnsi"/>
          <w:color w:val="000000"/>
          <w:szCs w:val="22"/>
        </w:rPr>
      </w:pPr>
      <w:r w:rsidRPr="00156AA9">
        <w:rPr>
          <w:rFonts w:asciiTheme="minorHAnsi" w:hAnsiTheme="minorHAnsi" w:cstheme="minorHAnsi"/>
          <w:color w:val="000000"/>
          <w:szCs w:val="22"/>
          <w:lang w:val="cs-CZ"/>
        </w:rPr>
        <w:t>Oznamovatelé</w:t>
      </w:r>
      <w:r>
        <w:rPr>
          <w:rFonts w:asciiTheme="minorHAnsi" w:hAnsiTheme="minorHAnsi" w:cstheme="minorHAnsi"/>
          <w:color w:val="000000"/>
          <w:szCs w:val="22"/>
        </w:rPr>
        <w:t>:</w:t>
      </w:r>
    </w:p>
    <w:p w14:paraId="292F3F1B" w14:textId="77777777" w:rsidR="00156AA9" w:rsidRDefault="00156AA9" w:rsidP="005D7601">
      <w:pPr>
        <w:pStyle w:val="texte1x"/>
        <w:spacing w:before="0"/>
        <w:ind w:left="0"/>
        <w:contextualSpacing/>
        <w:rPr>
          <w:rFonts w:asciiTheme="minorHAnsi" w:hAnsiTheme="minorHAnsi" w:cstheme="minorHAnsi"/>
          <w:color w:val="000000"/>
          <w:szCs w:val="22"/>
        </w:rPr>
      </w:pPr>
    </w:p>
    <w:p w14:paraId="1CD65944" w14:textId="77777777" w:rsidR="00525DC1" w:rsidRPr="00FC672C" w:rsidRDefault="00525DC1" w:rsidP="00525DC1">
      <w:pPr>
        <w:pStyle w:val="texte1x"/>
        <w:spacing w:before="0"/>
        <w:ind w:left="0"/>
        <w:contextualSpacing/>
        <w:rPr>
          <w:rFonts w:asciiTheme="minorHAnsi" w:hAnsiTheme="minorHAnsi" w:cstheme="minorHAnsi"/>
          <w:b/>
          <w:szCs w:val="22"/>
          <w:shd w:val="clear" w:color="auto" w:fill="FFFFFF"/>
          <w:lang w:val="cs-CZ"/>
        </w:rPr>
      </w:pPr>
      <w:r w:rsidRPr="00FC672C">
        <w:rPr>
          <w:rFonts w:asciiTheme="minorHAnsi" w:hAnsiTheme="minorHAnsi" w:cstheme="minorHAnsi"/>
          <w:b/>
          <w:szCs w:val="22"/>
          <w:shd w:val="clear" w:color="auto" w:fill="FFFFFF"/>
          <w:lang w:val="cs-CZ"/>
        </w:rPr>
        <w:t>ALV Hospitality Group s.r.o.</w:t>
      </w:r>
    </w:p>
    <w:p w14:paraId="242C00A7" w14:textId="77777777" w:rsidR="00525DC1" w:rsidRDefault="00525DC1" w:rsidP="00525DC1">
      <w:pPr>
        <w:pStyle w:val="texte1x"/>
        <w:spacing w:before="0"/>
        <w:ind w:left="0"/>
        <w:contextualSpacing/>
        <w:rPr>
          <w:rFonts w:asciiTheme="minorHAnsi" w:hAnsiTheme="minorHAnsi" w:cstheme="minorHAnsi"/>
          <w:szCs w:val="22"/>
          <w:lang w:val="cs-CZ"/>
        </w:rPr>
      </w:pPr>
      <w:r w:rsidRPr="00FC672C">
        <w:rPr>
          <w:rFonts w:asciiTheme="minorHAnsi" w:hAnsiTheme="minorHAnsi" w:cstheme="minorHAnsi"/>
          <w:b/>
          <w:szCs w:val="22"/>
          <w:shd w:val="clear" w:color="auto" w:fill="FFFFFF"/>
          <w:lang w:val="cs-CZ"/>
        </w:rPr>
        <w:t>ALV Holding s.r.o.</w:t>
      </w:r>
    </w:p>
    <w:p w14:paraId="047C76B1" w14:textId="4721BCEA" w:rsidR="00942398" w:rsidRPr="00D40D0B" w:rsidRDefault="00942398" w:rsidP="00D90142">
      <w:pPr>
        <w:pStyle w:val="texte1x"/>
        <w:spacing w:before="0"/>
        <w:ind w:left="0"/>
        <w:contextualSpacing/>
        <w:rPr>
          <w:rFonts w:asciiTheme="minorHAnsi" w:hAnsiTheme="minorHAnsi" w:cstheme="minorHAnsi"/>
          <w:szCs w:val="22"/>
          <w:lang w:val="cs-CZ"/>
        </w:rPr>
      </w:pPr>
    </w:p>
    <w:sectPr w:rsidR="00942398" w:rsidRPr="00D40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AAD"/>
    <w:rsid w:val="00110886"/>
    <w:rsid w:val="00156AA9"/>
    <w:rsid w:val="001717B0"/>
    <w:rsid w:val="002076C1"/>
    <w:rsid w:val="00234C23"/>
    <w:rsid w:val="00350F27"/>
    <w:rsid w:val="00373DC8"/>
    <w:rsid w:val="0039617E"/>
    <w:rsid w:val="00452C18"/>
    <w:rsid w:val="004E19A7"/>
    <w:rsid w:val="005009D9"/>
    <w:rsid w:val="00525DC1"/>
    <w:rsid w:val="00534EDF"/>
    <w:rsid w:val="00571819"/>
    <w:rsid w:val="005D7601"/>
    <w:rsid w:val="006428CE"/>
    <w:rsid w:val="00666C16"/>
    <w:rsid w:val="00886BF4"/>
    <w:rsid w:val="00897920"/>
    <w:rsid w:val="008D42E4"/>
    <w:rsid w:val="008F2AAD"/>
    <w:rsid w:val="00905925"/>
    <w:rsid w:val="00942398"/>
    <w:rsid w:val="00A37E98"/>
    <w:rsid w:val="00A84522"/>
    <w:rsid w:val="00AA38B0"/>
    <w:rsid w:val="00B56C51"/>
    <w:rsid w:val="00BD1314"/>
    <w:rsid w:val="00BD6A54"/>
    <w:rsid w:val="00C336F1"/>
    <w:rsid w:val="00CC54D4"/>
    <w:rsid w:val="00CF2B9D"/>
    <w:rsid w:val="00CF3404"/>
    <w:rsid w:val="00D04F29"/>
    <w:rsid w:val="00D40D0B"/>
    <w:rsid w:val="00D75583"/>
    <w:rsid w:val="00D82DA3"/>
    <w:rsid w:val="00D90142"/>
    <w:rsid w:val="00DA2055"/>
    <w:rsid w:val="00DF6B17"/>
    <w:rsid w:val="00E61505"/>
    <w:rsid w:val="00E82330"/>
    <w:rsid w:val="00F10A27"/>
    <w:rsid w:val="00F73004"/>
    <w:rsid w:val="00F9583B"/>
    <w:rsid w:val="00FB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E72B"/>
  <w15:chartTrackingRefBased/>
  <w15:docId w15:val="{987EFB9E-CE63-4679-BD7C-8EF04C9C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2A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F2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F2AAD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8F2AAD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350F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350F2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50F2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350F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50F2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50F2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F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F27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texte1x">
    <w:name w:val="texte 1.x"/>
    <w:basedOn w:val="Normln"/>
    <w:qFormat/>
    <w:rsid w:val="00110886"/>
    <w:pPr>
      <w:spacing w:before="120"/>
      <w:ind w:left="567"/>
      <w:jc w:val="both"/>
    </w:pPr>
    <w:rPr>
      <w:sz w:val="22"/>
      <w:szCs w:val="20"/>
      <w:lang w:val="en-GB" w:eastAsia="en-US"/>
    </w:rPr>
  </w:style>
  <w:style w:type="character" w:customStyle="1" w:styleId="platne">
    <w:name w:val="platne"/>
    <w:basedOn w:val="Standardnpsmoodstavce"/>
    <w:rsid w:val="00642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860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188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435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22119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07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528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678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84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771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156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310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718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623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8732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981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686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4919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703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187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005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25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291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197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975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478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182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6605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45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298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2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049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516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38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808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81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75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4966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373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6840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218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42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251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005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894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710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2194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090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6629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572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056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455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857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7843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66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49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9900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773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365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296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740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805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280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9599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7024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10007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65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9602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01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485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136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8422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267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044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991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55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280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54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324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878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513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41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335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2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14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030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32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802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742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91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287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40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569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05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66974/1/ASPI%253A/125/2008%20Sb.%252333a.2.b" TargetMode="External"/><Relationship Id="rId4" Type="http://schemas.openxmlformats.org/officeDocument/2006/relationships/hyperlink" Target="https://www.aspi.cz/products/lawText/1/66974/1/ASPI%253A/125/2008%20Sb.%252333.1.b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1437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Rotta</dc:creator>
  <cp:keywords/>
  <dc:description/>
  <cp:lastModifiedBy>Jan Rotta</cp:lastModifiedBy>
  <cp:revision>5</cp:revision>
  <dcterms:created xsi:type="dcterms:W3CDTF">2025-11-03T18:10:00Z</dcterms:created>
  <dcterms:modified xsi:type="dcterms:W3CDTF">2026-07-27T15:00:00Z</dcterms:modified>
</cp:coreProperties>
</file>